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20230329港口电仪设备采购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bookmarkStart w:id="0" w:name="_GoBack"/>
      <w:r>
        <w:rPr>
          <w:rFonts w:hint="eastAsia" w:ascii="方正仿宋简体" w:hAnsi="方正仿宋简体" w:eastAsia="方正仿宋简体" w:cs="方正仿宋简体"/>
          <w:sz w:val="32"/>
          <w:szCs w:val="32"/>
          <w:u w:val="single"/>
          <w:lang w:val="en-US" w:eastAsia="zh-CN"/>
        </w:rPr>
        <w:t>2023年4月11日上午10点</w:t>
      </w:r>
      <w:bookmarkEnd w:id="0"/>
      <w:r>
        <w:rPr>
          <w:rFonts w:hint="eastAsia" w:ascii="方正仿宋简体" w:hAnsi="方正仿宋简体" w:eastAsia="方正仿宋简体" w:cs="方正仿宋简体"/>
          <w:sz w:val="32"/>
          <w:szCs w:val="32"/>
          <w:u w:val="single"/>
          <w:lang w:val="en-US" w:eastAsia="zh-CN"/>
        </w:rPr>
        <w:t>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2023年4月11日上午10点整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60日内银行承兑，本次招标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10883" w:type="dxa"/>
        <w:tblInd w:w="-1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0"/>
        <w:gridCol w:w="2205"/>
        <w:gridCol w:w="2930"/>
        <w:gridCol w:w="546"/>
        <w:gridCol w:w="446"/>
        <w:gridCol w:w="992"/>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3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20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93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4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4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电磁阀</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2W-500-50 AC220V 2"</w:t>
            </w:r>
          </w:p>
        </w:tc>
        <w:tc>
          <w:tcPr>
            <w:tcW w:w="2930" w:type="dxa"/>
            <w:vAlign w:val="center"/>
          </w:tcPr>
          <w:p>
            <w:pPr>
              <w:jc w:val="left"/>
              <w:rPr>
                <w:rFonts w:ascii="方正仿宋简体" w:hAnsi="方正仿宋简体" w:eastAsia="方正仿宋简体" w:cs="方正仿宋简体"/>
                <w:szCs w:val="21"/>
              </w:rPr>
            </w:pP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差压变送器</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艾默生3051S、横河EJA110E、e+h PMD75</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量程：0-100kpa 信号：4-20mA DC HART协议 电气连接：1/2NPT 过程连接：1/2NPT 螺栓螺母：316L 右侧：高压室 左侧：低压室 内置显示表       EXd IIC T6 IP67</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台</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4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防爆道闸</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JSGK-F300</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6米栅栏杆长 6秒落杆 闸杆为铝质八角杆 防爆标志为：ExdII2BT5 GB IP64  遥控器控制 带安装指导</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套</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2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浮球开关</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EM15-2 A级</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额定电压220VAC 防护等级IP65 8米 聚丙烯</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LED泛光灯</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HRT92-M</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AC220V EXd IIC T6 IP66   200W</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20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LED防爆灯</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BAD-1</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AC220V EXd IIC T6 IP66  25OW</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15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40" w:type="dxa"/>
            <w:gridSpan w:val="4"/>
            <w:vAlign w:val="center"/>
          </w:tcPr>
          <w:p>
            <w:pPr>
              <w:widowControl/>
              <w:textAlignment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543"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