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cs="宋体"/>
        </w:rPr>
      </w:pPr>
      <w:r>
        <w:rPr>
          <w:rFonts w:hint="eastAsia" w:ascii="宋体" w:hAnsi="宋体" w:cs="宋体"/>
        </w:rPr>
        <w:t>镇江海纳川物流产业发展有限责任公司</w:t>
      </w:r>
    </w:p>
    <w:p>
      <w:pPr>
        <w:pStyle w:val="2"/>
        <w:rPr>
          <w:rFonts w:ascii="宋体" w:cs="宋体"/>
        </w:rPr>
      </w:pPr>
      <w:r>
        <w:rPr>
          <w:rFonts w:hint="eastAsia" w:ascii="宋体" w:hAnsi="宋体" w:cs="宋体"/>
        </w:rPr>
        <w:t>招标文件</w:t>
      </w:r>
    </w:p>
    <w:p>
      <w:pPr>
        <w:wordWrap w:val="0"/>
        <w:spacing w:line="360" w:lineRule="auto"/>
        <w:jc w:val="left"/>
        <w:rPr>
          <w:rFonts w:ascii="仿宋" w:hAnsi="仿宋" w:eastAsia="仿宋" w:cs="仿宋"/>
          <w:kern w:val="1"/>
          <w:sz w:val="24"/>
        </w:rPr>
      </w:pPr>
      <w:r>
        <w:rPr>
          <w:rFonts w:hint="eastAsia" w:ascii="仿宋" w:hAnsi="仿宋" w:eastAsia="仿宋" w:cs="仿宋"/>
          <w:kern w:val="1"/>
          <w:sz w:val="24"/>
        </w:rPr>
        <w:t>一、报价须知</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1、招标项目：</w:t>
      </w:r>
      <w:r>
        <w:rPr>
          <w:rFonts w:hint="eastAsia" w:ascii="仿宋" w:hAnsi="仿宋" w:eastAsia="仿宋" w:cs="仿宋"/>
          <w:kern w:val="1"/>
          <w:sz w:val="24"/>
          <w:u w:val="single"/>
        </w:rPr>
        <w:t xml:space="preserve"> </w:t>
      </w:r>
      <w:r>
        <w:rPr>
          <w:rFonts w:hint="eastAsia" w:ascii="宋体" w:hAnsi="宋体" w:cs="ÑÚSå"/>
          <w:bCs/>
          <w:kern w:val="1"/>
          <w:sz w:val="24"/>
          <w:u w:val="single"/>
        </w:rPr>
        <w:t>20230301港口事业部不锈钢金属软管采购</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2、项目编号：</w:t>
      </w:r>
      <w:r>
        <w:rPr>
          <w:rFonts w:hint="eastAsia" w:ascii="宋体" w:hAnsi="宋体" w:cs="宋体"/>
          <w:sz w:val="24"/>
          <w:u w:val="single"/>
        </w:rPr>
        <w:t xml:space="preserve">  </w:t>
      </w:r>
      <w:r>
        <w:rPr>
          <w:rFonts w:ascii="宋体" w:hAnsi="宋体" w:cs="宋体"/>
          <w:sz w:val="24"/>
          <w:u w:val="single"/>
        </w:rPr>
        <w:t>HJHB-2023-2001</w:t>
      </w:r>
      <w:r>
        <w:rPr>
          <w:rFonts w:hint="eastAsia" w:ascii="宋体" w:hAnsi="宋体" w:cs="ÑÚSå"/>
          <w:bCs/>
          <w:kern w:val="1"/>
          <w:sz w:val="24"/>
          <w:u w:val="single"/>
        </w:rPr>
        <w:t xml:space="preserve">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3、投标有效期：不得少于自投标截止之日起</w:t>
      </w:r>
      <w:r>
        <w:rPr>
          <w:rFonts w:hint="eastAsia" w:ascii="仿宋" w:hAnsi="仿宋" w:eastAsia="仿宋" w:cs="仿宋"/>
          <w:kern w:val="1"/>
          <w:sz w:val="24"/>
          <w:u w:val="single"/>
        </w:rPr>
        <w:t xml:space="preserve"> 30 </w:t>
      </w:r>
      <w:r>
        <w:rPr>
          <w:rFonts w:hint="eastAsia" w:ascii="仿宋" w:hAnsi="仿宋" w:eastAsia="仿宋" w:cs="仿宋"/>
          <w:kern w:val="1"/>
          <w:sz w:val="24"/>
        </w:rPr>
        <w:t>日；</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4、交货地点：</w:t>
      </w:r>
      <w:r>
        <w:rPr>
          <w:rFonts w:hint="eastAsia" w:ascii="仿宋" w:hAnsi="仿宋" w:eastAsia="仿宋" w:cs="仿宋"/>
          <w:kern w:val="1"/>
          <w:sz w:val="24"/>
          <w:u w:val="single"/>
        </w:rPr>
        <w:t xml:space="preserve"> 镇江海纳川物流产业发展有限责任公司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u w:val="single"/>
        </w:rPr>
      </w:pPr>
      <w:r>
        <w:rPr>
          <w:rFonts w:hint="eastAsia" w:ascii="仿宋" w:hAnsi="仿宋" w:eastAsia="仿宋" w:cs="仿宋"/>
          <w:kern w:val="1"/>
          <w:sz w:val="24"/>
        </w:rPr>
        <w:t>5、交货期限：</w:t>
      </w:r>
      <w:r>
        <w:rPr>
          <w:rFonts w:hint="eastAsia" w:ascii="仿宋" w:hAnsi="仿宋" w:eastAsia="仿宋" w:cs="仿宋"/>
          <w:kern w:val="1"/>
          <w:sz w:val="24"/>
          <w:u w:val="single"/>
        </w:rPr>
        <w:t xml:space="preserve"> 合同签订生效后10天供货 </w:t>
      </w:r>
      <w:r>
        <w:rPr>
          <w:rFonts w:hint="eastAsia" w:ascii="仿宋" w:hAnsi="仿宋" w:eastAsia="仿宋" w:cs="仿宋"/>
          <w:kern w:val="1"/>
          <w:sz w:val="24"/>
        </w:rPr>
        <w:t>；</w:t>
      </w:r>
      <w:r>
        <w:rPr>
          <w:rFonts w:hint="eastAsia" w:ascii="仿宋" w:hAnsi="仿宋" w:eastAsia="仿宋" w:cs="仿宋"/>
          <w:color w:val="auto"/>
          <w:kern w:val="1"/>
          <w:sz w:val="24"/>
        </w:rPr>
        <w:t>（</w:t>
      </w:r>
      <w:r>
        <w:rPr>
          <w:rFonts w:hint="eastAsia" w:ascii="仿宋" w:hAnsi="仿宋" w:eastAsia="仿宋" w:cs="仿宋"/>
          <w:color w:val="FF0000"/>
          <w:kern w:val="2"/>
          <w:sz w:val="24"/>
        </w:rPr>
        <w:t>允许投标人按实际交货时间填写,评标时交货期作为重要参考依据</w:t>
      </w:r>
      <w:r>
        <w:rPr>
          <w:rFonts w:hint="eastAsia" w:ascii="仿宋" w:hAnsi="仿宋" w:eastAsia="仿宋" w:cs="仿宋"/>
          <w:color w:val="auto"/>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6、付款须知：货物验收合格后，招标方收到中标方开具的增值税专用发票后60日内以网银方式付款；本次招标</w:t>
      </w:r>
      <w:r>
        <w:rPr>
          <w:rFonts w:hint="eastAsia" w:ascii="仿宋" w:hAnsi="仿宋" w:eastAsia="仿宋" w:cs="仿宋"/>
          <w:b/>
          <w:color w:val="FF0000"/>
          <w:kern w:val="1"/>
          <w:sz w:val="24"/>
        </w:rPr>
        <w:t>不接受</w:t>
      </w:r>
      <w:r>
        <w:rPr>
          <w:rFonts w:hint="eastAsia" w:ascii="仿宋" w:hAnsi="仿宋" w:eastAsia="仿宋" w:cs="仿宋"/>
          <w:b/>
          <w:kern w:val="1"/>
          <w:sz w:val="24"/>
        </w:rPr>
        <w:t>款到发货</w:t>
      </w:r>
      <w:r>
        <w:rPr>
          <w:rFonts w:hint="eastAsia" w:ascii="仿宋" w:hAnsi="仿宋" w:eastAsia="仿宋" w:cs="仿宋"/>
          <w:kern w:val="1"/>
          <w:sz w:val="24"/>
        </w:rPr>
        <w:t>。（</w:t>
      </w:r>
      <w:r>
        <w:rPr>
          <w:rFonts w:hint="eastAsia" w:ascii="仿宋" w:hAnsi="仿宋" w:eastAsia="仿宋" w:cs="仿宋"/>
          <w:color w:val="FF0000"/>
          <w:sz w:val="24"/>
        </w:rPr>
        <w:t>如投标方不接受我司提出的付款方式，可以提出能够接受的付款方式及付款时间</w:t>
      </w:r>
      <w:r>
        <w:rPr>
          <w:rFonts w:hint="eastAsia" w:ascii="仿宋" w:hAnsi="仿宋" w:eastAsia="仿宋" w:cs="仿宋"/>
          <w:color w:val="FF0000"/>
          <w:kern w:val="1"/>
          <w:sz w:val="24"/>
        </w:rPr>
        <w:t>，评标时作为参考</w:t>
      </w:r>
      <w:r>
        <w:rPr>
          <w:rFonts w:hint="eastAsia" w:ascii="仿宋" w:hAnsi="仿宋" w:eastAsia="仿宋" w:cs="仿宋"/>
          <w:color w:val="auto"/>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7、招标控制价：</w:t>
      </w:r>
      <w:r>
        <w:rPr>
          <w:rFonts w:hint="eastAsia" w:ascii="仿宋" w:hAnsi="仿宋" w:eastAsia="仿宋" w:cs="仿宋"/>
          <w:kern w:val="1"/>
          <w:sz w:val="24"/>
          <w:u w:val="single"/>
        </w:rPr>
        <w:t xml:space="preserve"> 1.5万元 </w:t>
      </w:r>
      <w:r>
        <w:rPr>
          <w:rFonts w:hint="eastAsia" w:ascii="仿宋" w:hAnsi="仿宋" w:eastAsia="仿宋" w:cs="仿宋"/>
          <w:kern w:val="1"/>
          <w:sz w:val="24"/>
        </w:rPr>
        <w:t>（含税）高于控制价作废标处理；</w:t>
      </w:r>
    </w:p>
    <w:p>
      <w:pPr>
        <w:wordWrap w:val="0"/>
        <w:spacing w:line="360" w:lineRule="auto"/>
        <w:ind w:firstLine="480" w:firstLineChars="200"/>
        <w:jc w:val="left"/>
        <w:rPr>
          <w:rFonts w:ascii="仿宋" w:hAnsi="仿宋" w:eastAsia="仿宋" w:cs="仿宋"/>
          <w:bCs/>
          <w:kern w:val="1"/>
          <w:sz w:val="24"/>
        </w:rPr>
      </w:pPr>
      <w:r>
        <w:rPr>
          <w:rFonts w:hint="eastAsia" w:ascii="仿宋" w:hAnsi="仿宋" w:eastAsia="仿宋" w:cs="仿宋"/>
          <w:bCs/>
          <w:kern w:val="1"/>
          <w:sz w:val="24"/>
        </w:rPr>
        <w:t>8、当有效投标大于等于3家时推荐中标候选人三名；</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9、投标书格式要求：见招标文件及附件；</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10、投标截止时间：</w:t>
      </w:r>
      <w:r>
        <w:rPr>
          <w:rFonts w:hint="eastAsia" w:ascii="仿宋" w:hAnsi="仿宋" w:eastAsia="仿宋" w:cs="仿宋"/>
          <w:kern w:val="1"/>
          <w:sz w:val="24"/>
          <w:u w:val="single"/>
        </w:rPr>
        <w:t xml:space="preserve"> </w:t>
      </w:r>
      <w:r>
        <w:rPr>
          <w:rFonts w:hint="eastAsia" w:ascii="仿宋" w:hAnsi="仿宋" w:eastAsia="仿宋" w:cs="仿宋"/>
          <w:kern w:val="1"/>
          <w:sz w:val="24"/>
          <w:u w:val="single"/>
          <w:lang w:val="en-US" w:eastAsia="zh-CN"/>
        </w:rPr>
        <w:t>2023年3月10日下午2点整</w:t>
      </w:r>
      <w:r>
        <w:rPr>
          <w:rFonts w:hint="eastAsia" w:ascii="仿宋" w:hAnsi="仿宋" w:eastAsia="仿宋" w:cs="仿宋"/>
          <w:kern w:val="1"/>
          <w:sz w:val="24"/>
          <w:u w:val="single"/>
        </w:rPr>
        <w:t xml:space="preserve">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11、初定开标时间：</w:t>
      </w:r>
      <w:r>
        <w:rPr>
          <w:rFonts w:hint="eastAsia" w:ascii="仿宋" w:hAnsi="仿宋" w:eastAsia="仿宋" w:cs="仿宋"/>
          <w:kern w:val="1"/>
          <w:sz w:val="24"/>
          <w:u w:val="single"/>
        </w:rPr>
        <w:t xml:space="preserve"> </w:t>
      </w:r>
      <w:r>
        <w:rPr>
          <w:rFonts w:hint="eastAsia" w:ascii="仿宋" w:hAnsi="仿宋" w:eastAsia="仿宋" w:cs="仿宋"/>
          <w:kern w:val="1"/>
          <w:sz w:val="24"/>
          <w:u w:val="single"/>
          <w:lang w:val="en-US" w:eastAsia="zh-CN"/>
        </w:rPr>
        <w:t>2023年3月10日下午2点整</w:t>
      </w:r>
      <w:r>
        <w:rPr>
          <w:rFonts w:hint="eastAsia" w:ascii="仿宋" w:hAnsi="仿宋" w:eastAsia="仿宋" w:cs="仿宋"/>
          <w:kern w:val="1"/>
          <w:sz w:val="24"/>
          <w:u w:val="single"/>
        </w:rPr>
        <w:t xml:space="preserve"> </w:t>
      </w:r>
      <w:r>
        <w:rPr>
          <w:rFonts w:hint="eastAsia" w:ascii="仿宋" w:hAnsi="仿宋" w:eastAsia="仿宋" w:cs="仿宋"/>
          <w:kern w:val="1"/>
          <w:sz w:val="24"/>
        </w:rPr>
        <w:t>；</w:t>
      </w:r>
    </w:p>
    <w:p>
      <w:pPr>
        <w:tabs>
          <w:tab w:val="left" w:pos="180"/>
        </w:tabs>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12、开标地点：镇江海纳川物流产业发展有限责任公司；</w:t>
      </w:r>
    </w:p>
    <w:p>
      <w:pPr>
        <w:tabs>
          <w:tab w:val="left" w:pos="180"/>
        </w:tabs>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13、采用纸质文件投标的，投标人应将投标文件装入信袋内密封，并在封签处加盖投标人公章。包装封面应注明投标项目名称、投标人名称和地址，不得有破损。对未按要求密封和加写标记的投标文件，招标方将予以拒绝，并退回投标人。</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14、如投标人需咨询有关本次招标的其它相关事宜，请按下述方式联系：</w:t>
      </w:r>
    </w:p>
    <w:p>
      <w:pPr>
        <w:pStyle w:val="19"/>
        <w:tabs>
          <w:tab w:val="left" w:pos="180"/>
        </w:tabs>
        <w:wordWrap w:val="0"/>
        <w:spacing w:line="360" w:lineRule="auto"/>
        <w:ind w:firstLine="480"/>
        <w:jc w:val="left"/>
        <w:rPr>
          <w:rFonts w:ascii="仿宋" w:hAnsi="仿宋" w:eastAsia="仿宋" w:cs="仿宋"/>
          <w:kern w:val="1"/>
          <w:sz w:val="24"/>
          <w:szCs w:val="24"/>
        </w:rPr>
      </w:pPr>
      <w:r>
        <w:rPr>
          <w:rFonts w:hint="eastAsia" w:ascii="仿宋" w:hAnsi="仿宋" w:eastAsia="仿宋" w:cs="仿宋"/>
          <w:kern w:val="1"/>
          <w:sz w:val="24"/>
          <w:szCs w:val="24"/>
        </w:rPr>
        <w:t>公司：镇江海纳川物流产业发展有限责任公司</w:t>
      </w:r>
    </w:p>
    <w:p>
      <w:pPr>
        <w:wordWrap w:val="0"/>
        <w:spacing w:line="360" w:lineRule="auto"/>
        <w:ind w:firstLine="480" w:firstLineChars="200"/>
        <w:jc w:val="left"/>
        <w:rPr>
          <w:rFonts w:ascii="仿宋" w:hAnsi="仿宋" w:eastAsia="仿宋" w:cs="仿宋"/>
          <w:bCs/>
          <w:kern w:val="1"/>
          <w:sz w:val="24"/>
        </w:rPr>
      </w:pPr>
      <w:r>
        <w:rPr>
          <w:rFonts w:hint="eastAsia" w:ascii="仿宋" w:hAnsi="仿宋" w:eastAsia="仿宋" w:cs="仿宋"/>
          <w:kern w:val="1"/>
          <w:sz w:val="24"/>
        </w:rPr>
        <w:t>地址：</w:t>
      </w:r>
      <w:r>
        <w:rPr>
          <w:rFonts w:hint="eastAsia" w:ascii="仿宋" w:hAnsi="仿宋" w:eastAsia="仿宋" w:cs="仿宋"/>
          <w:bCs/>
          <w:kern w:val="1"/>
          <w:sz w:val="24"/>
        </w:rPr>
        <w:t>江苏省镇江市求索路66号（海纳川211室风险控制部）</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邮编：212006                邮箱：</w:t>
      </w:r>
      <w:r>
        <w:fldChar w:fldCharType="begin"/>
      </w:r>
      <w:r>
        <w:instrText xml:space="preserve"> HYPERLINK "mailto:hnc_scfwc@sina.com" </w:instrText>
      </w:r>
      <w:r>
        <w:fldChar w:fldCharType="separate"/>
      </w:r>
      <w:r>
        <w:rPr>
          <w:rFonts w:hint="eastAsia" w:ascii="仿宋" w:hAnsi="仿宋" w:eastAsia="仿宋" w:cs="仿宋"/>
          <w:sz w:val="24"/>
        </w:rPr>
        <w:t>hnc_scfwc@163.com</w:t>
      </w:r>
      <w:r>
        <w:rPr>
          <w:rFonts w:hint="eastAsia" w:ascii="仿宋" w:hAnsi="仿宋" w:eastAsia="仿宋" w:cs="仿宋"/>
          <w:sz w:val="24"/>
        </w:rPr>
        <w:fldChar w:fldCharType="end"/>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招标联系人：邵蕾            电话：0511-88995879</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商务联系人：周祥生　　　　　手机：13861358963</w:t>
      </w:r>
    </w:p>
    <w:p>
      <w:pPr>
        <w:wordWrap w:val="0"/>
        <w:spacing w:line="360" w:lineRule="auto"/>
        <w:jc w:val="left"/>
        <w:rPr>
          <w:rFonts w:ascii="仿宋" w:hAnsi="仿宋" w:eastAsia="仿宋" w:cs="仿宋"/>
          <w:kern w:val="1"/>
          <w:sz w:val="24"/>
        </w:rPr>
      </w:pPr>
      <w:r>
        <w:rPr>
          <w:rFonts w:hint="eastAsia" w:ascii="仿宋" w:hAnsi="仿宋" w:eastAsia="仿宋" w:cs="仿宋"/>
          <w:kern w:val="1"/>
          <w:sz w:val="24"/>
        </w:rPr>
        <w:t>二、对投标人的基本要求</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1、投标人应保证投标文件内容完整、真实、准确，招标方于任何时间发现投标人所提供资料不能满足相关要求的，均有权废弃该投标人的投标文件。</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spacing w:line="360" w:lineRule="auto"/>
        <w:ind w:firstLine="482" w:firstLineChars="200"/>
        <w:jc w:val="left"/>
        <w:rPr>
          <w:rFonts w:ascii="仿宋" w:hAnsi="仿宋" w:eastAsia="仿宋" w:cs="仿宋"/>
          <w:b/>
          <w:kern w:val="1"/>
          <w:sz w:val="24"/>
        </w:rPr>
      </w:pPr>
      <w:r>
        <w:rPr>
          <w:rFonts w:hint="eastAsia" w:ascii="仿宋" w:hAnsi="仿宋" w:eastAsia="仿宋" w:cs="仿宋"/>
          <w:b/>
          <w:kern w:val="1"/>
          <w:sz w:val="24"/>
        </w:rPr>
        <w:t>3.投标人须提供下列文件</w:t>
      </w:r>
      <w:r>
        <w:rPr>
          <w:rFonts w:hint="eastAsia" w:ascii="仿宋" w:hAnsi="仿宋" w:eastAsia="仿宋" w:cs="仿宋"/>
          <w:b/>
          <w:color w:val="FF0000"/>
          <w:kern w:val="1"/>
          <w:sz w:val="24"/>
        </w:rPr>
        <w:t>（未按要求作废标处理）</w:t>
      </w:r>
    </w:p>
    <w:p>
      <w:pPr>
        <w:spacing w:line="360" w:lineRule="auto"/>
        <w:ind w:firstLine="480" w:firstLineChars="200"/>
        <w:jc w:val="left"/>
        <w:rPr>
          <w:rFonts w:ascii="仿宋" w:hAnsi="仿宋" w:eastAsia="仿宋" w:cs="仿宋"/>
          <w:sz w:val="24"/>
          <w:u w:val="single"/>
        </w:rPr>
      </w:pPr>
      <w:r>
        <w:rPr>
          <w:rFonts w:hint="eastAsia" w:ascii="仿宋" w:hAnsi="仿宋" w:eastAsia="仿宋" w:cs="仿宋"/>
          <w:kern w:val="1"/>
          <w:sz w:val="24"/>
        </w:rPr>
        <w:t>3.1、投标人</w:t>
      </w:r>
      <w:r>
        <w:rPr>
          <w:rFonts w:hint="eastAsia" w:ascii="仿宋" w:hAnsi="仿宋" w:eastAsia="仿宋" w:cs="仿宋"/>
          <w:sz w:val="24"/>
        </w:rPr>
        <w:t>有效资格证明文件：</w:t>
      </w:r>
      <w:r>
        <w:rPr>
          <w:rFonts w:hint="eastAsia" w:ascii="仿宋" w:hAnsi="仿宋" w:eastAsia="仿宋" w:cs="仿宋"/>
          <w:color w:val="FF0000"/>
          <w:sz w:val="24"/>
        </w:rPr>
        <w:t>《营业执照》。（复印件</w:t>
      </w:r>
      <w:r>
        <w:rPr>
          <w:rFonts w:hint="eastAsia" w:ascii="仿宋" w:hAnsi="仿宋" w:eastAsia="仿宋" w:cs="仿宋"/>
          <w:color w:val="FF0000"/>
          <w:kern w:val="1"/>
          <w:sz w:val="24"/>
        </w:rPr>
        <w:t>需盖公章）</w:t>
      </w:r>
    </w:p>
    <w:p>
      <w:pPr>
        <w:spacing w:line="360" w:lineRule="auto"/>
        <w:ind w:left="210" w:leftChars="100" w:firstLine="240" w:firstLineChars="100"/>
        <w:jc w:val="left"/>
        <w:rPr>
          <w:rFonts w:ascii="仿宋" w:hAnsi="仿宋" w:eastAsia="仿宋" w:cs="仿宋"/>
          <w:kern w:val="1"/>
          <w:sz w:val="24"/>
          <w:shd w:val="clear" w:color="FFFFFF" w:fill="D9D9D9"/>
        </w:rPr>
      </w:pPr>
      <w:r>
        <w:rPr>
          <w:rFonts w:hint="eastAsia" w:ascii="仿宋" w:hAnsi="仿宋" w:eastAsia="仿宋" w:cs="仿宋"/>
          <w:kern w:val="1"/>
          <w:sz w:val="24"/>
        </w:rPr>
        <w:t>3.2、投标人必须上传</w:t>
      </w:r>
      <w:r>
        <w:rPr>
          <w:rFonts w:hint="eastAsia" w:ascii="仿宋" w:hAnsi="仿宋" w:eastAsia="仿宋" w:cs="仿宋"/>
          <w:color w:val="FF0000"/>
          <w:kern w:val="1"/>
          <w:sz w:val="24"/>
        </w:rPr>
        <w:t>承诺函</w:t>
      </w:r>
      <w:r>
        <w:rPr>
          <w:rFonts w:hint="eastAsia" w:ascii="仿宋" w:hAnsi="仿宋" w:eastAsia="仿宋" w:cs="仿宋"/>
          <w:kern w:val="1"/>
          <w:sz w:val="24"/>
        </w:rPr>
        <w:t>（附件一）</w:t>
      </w:r>
      <w:r>
        <w:rPr>
          <w:rFonts w:hint="eastAsia" w:ascii="仿宋" w:hAnsi="仿宋" w:eastAsia="仿宋" w:cs="仿宋"/>
          <w:color w:val="FF0000"/>
          <w:kern w:val="1"/>
          <w:sz w:val="24"/>
        </w:rPr>
        <w:t>需盖公章,签字处需手签，打印无效</w:t>
      </w:r>
      <w:r>
        <w:rPr>
          <w:rFonts w:hint="eastAsia" w:ascii="仿宋" w:hAnsi="仿宋" w:eastAsia="仿宋" w:cs="仿宋"/>
          <w:kern w:val="1"/>
          <w:sz w:val="24"/>
        </w:rPr>
        <w:t>。</w:t>
      </w:r>
    </w:p>
    <w:p>
      <w:pPr>
        <w:spacing w:line="360" w:lineRule="auto"/>
        <w:ind w:left="210" w:leftChars="100" w:firstLine="240" w:firstLineChars="100"/>
        <w:jc w:val="left"/>
        <w:rPr>
          <w:rFonts w:ascii="仿宋" w:hAnsi="仿宋" w:eastAsia="仿宋" w:cs="仿宋"/>
          <w:color w:val="FF0000"/>
          <w:kern w:val="1"/>
          <w:sz w:val="24"/>
        </w:rPr>
      </w:pPr>
      <w:r>
        <w:rPr>
          <w:rFonts w:hint="eastAsia" w:ascii="仿宋" w:hAnsi="仿宋" w:eastAsia="仿宋" w:cs="仿宋"/>
          <w:kern w:val="1"/>
          <w:sz w:val="24"/>
        </w:rPr>
        <w:t>3.3、采用</w:t>
      </w:r>
      <w:r>
        <w:rPr>
          <w:rFonts w:hint="eastAsia" w:ascii="仿宋" w:hAnsi="仿宋" w:eastAsia="仿宋" w:cs="仿宋"/>
          <w:b/>
          <w:kern w:val="1"/>
          <w:sz w:val="24"/>
        </w:rPr>
        <w:t>线下</w:t>
      </w:r>
      <w:r>
        <w:rPr>
          <w:rFonts w:hint="eastAsia" w:ascii="仿宋" w:hAnsi="仿宋" w:eastAsia="仿宋" w:cs="仿宋"/>
          <w:kern w:val="1"/>
          <w:sz w:val="24"/>
        </w:rPr>
        <w:t>投标的，必须提供</w:t>
      </w:r>
      <w:r>
        <w:rPr>
          <w:rFonts w:hint="eastAsia" w:ascii="仿宋" w:hAnsi="仿宋" w:eastAsia="仿宋" w:cs="仿宋"/>
          <w:color w:val="FF0000"/>
          <w:kern w:val="1"/>
          <w:sz w:val="24"/>
        </w:rPr>
        <w:t>开标一览表</w:t>
      </w:r>
      <w:r>
        <w:rPr>
          <w:rFonts w:hint="eastAsia" w:ascii="仿宋" w:hAnsi="仿宋" w:eastAsia="仿宋" w:cs="仿宋"/>
          <w:kern w:val="1"/>
          <w:sz w:val="24"/>
        </w:rPr>
        <w:t>（附件二）</w:t>
      </w:r>
      <w:r>
        <w:rPr>
          <w:rFonts w:hint="eastAsia" w:ascii="仿宋" w:hAnsi="仿宋" w:eastAsia="仿宋" w:cs="仿宋"/>
          <w:color w:val="FF0000"/>
          <w:kern w:val="1"/>
          <w:sz w:val="24"/>
        </w:rPr>
        <w:t>需盖公章，签字处需手签，打印无效。</w:t>
      </w:r>
    </w:p>
    <w:p>
      <w:pPr>
        <w:spacing w:line="360" w:lineRule="auto"/>
        <w:jc w:val="left"/>
        <w:rPr>
          <w:rFonts w:ascii="仿宋" w:hAnsi="仿宋" w:eastAsia="仿宋" w:cs="仿宋"/>
          <w:sz w:val="24"/>
        </w:rPr>
      </w:pPr>
      <w:r>
        <w:rPr>
          <w:rFonts w:hint="eastAsia" w:ascii="仿宋" w:hAnsi="仿宋" w:eastAsia="仿宋" w:cs="仿宋"/>
          <w:sz w:val="24"/>
        </w:rPr>
        <w:t>四、报价货物清单及技术要求</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4.1、货物清单(详见：附件二开标一览表)　</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4.2、技术要求</w:t>
      </w:r>
      <w:bookmarkStart w:id="0" w:name="_GoBack"/>
      <w:bookmarkEnd w:id="0"/>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4.2.1、投标方必须严格按照我公司招标文件中要求报价供货，所供产品必须符合相应国家或行业有关技术标准和安全规范要求，不符合标书要求的按</w:t>
      </w:r>
      <w:r>
        <w:rPr>
          <w:rFonts w:hint="eastAsia" w:ascii="仿宋" w:hAnsi="仿宋" w:eastAsia="仿宋" w:cs="仿宋"/>
          <w:bCs/>
          <w:color w:val="FF0000"/>
          <w:kern w:val="1"/>
          <w:sz w:val="24"/>
        </w:rPr>
        <w:t>废标</w:t>
      </w:r>
      <w:r>
        <w:rPr>
          <w:rFonts w:hint="eastAsia" w:ascii="仿宋" w:hAnsi="仿宋" w:eastAsia="仿宋" w:cs="仿宋"/>
          <w:color w:val="auto"/>
          <w:kern w:val="1"/>
          <w:sz w:val="24"/>
        </w:rPr>
        <w:t>处理。</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4.2.2、不锈钢金属软管本体上要有产品规格型号</w:t>
      </w:r>
      <w:r>
        <w:rPr>
          <w:rFonts w:hint="eastAsia" w:ascii="仿宋" w:hAnsi="仿宋" w:eastAsia="仿宋" w:cs="仿宋"/>
          <w:b/>
          <w:color w:val="FF0000"/>
          <w:kern w:val="1"/>
          <w:sz w:val="24"/>
        </w:rPr>
        <w:t>钢印标识</w:t>
      </w:r>
      <w:r>
        <w:rPr>
          <w:rFonts w:hint="eastAsia" w:ascii="仿宋" w:hAnsi="仿宋" w:eastAsia="仿宋" w:cs="仿宋"/>
          <w:color w:val="auto"/>
          <w:kern w:val="1"/>
          <w:sz w:val="24"/>
        </w:rPr>
        <w:t>，并随货提供质量检测报告等相关证明材料。</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4.2.3、产品出厂前由买方决定是否需要进行工厂验收（密封试验、耐压试验等），投标方须配合买方验收。</w:t>
      </w:r>
    </w:p>
    <w:p>
      <w:pPr>
        <w:wordWrap w:val="0"/>
        <w:spacing w:line="360" w:lineRule="auto"/>
        <w:jc w:val="left"/>
        <w:rPr>
          <w:rFonts w:ascii="仿宋" w:hAnsi="仿宋" w:eastAsia="仿宋" w:cs="仿宋"/>
          <w:sz w:val="24"/>
        </w:rPr>
      </w:pPr>
      <w:r>
        <w:rPr>
          <w:rFonts w:hint="eastAsia" w:ascii="仿宋" w:hAnsi="仿宋" w:eastAsia="仿宋" w:cs="仿宋"/>
          <w:sz w:val="24"/>
        </w:rPr>
        <w:t>五、开标、评标及流标</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1、开标</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由招标方评标小组在确定的开标时间对报价书启封，评标小组首先对投标文件完整性检查和投标人资格符合性进行审查。</w:t>
      </w:r>
    </w:p>
    <w:p>
      <w:pPr>
        <w:numPr>
          <w:ilvl w:val="0"/>
          <w:numId w:val="1"/>
        </w:numPr>
        <w:spacing w:line="360" w:lineRule="auto"/>
        <w:ind w:firstLine="480" w:firstLineChars="200"/>
        <w:jc w:val="left"/>
        <w:rPr>
          <w:rFonts w:ascii="仿宋" w:hAnsi="仿宋" w:eastAsia="仿宋" w:cs="仿宋"/>
          <w:color w:val="FF0000"/>
          <w:sz w:val="24"/>
        </w:rPr>
      </w:pPr>
      <w:r>
        <w:rPr>
          <w:rFonts w:hint="eastAsia" w:ascii="仿宋" w:hAnsi="仿宋" w:eastAsia="仿宋" w:cs="仿宋"/>
          <w:sz w:val="24"/>
        </w:rPr>
        <w:t>评标</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2.1、综合</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采取综合评审方法进行打分，具体按价格得分、技术得分、商务得分（得分比例根据货物内容确定）三个方面进行评审，并按综合得分由高到低顺序推选中标候选人。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2.2、通用（</w:t>
      </w:r>
      <w:r>
        <w:rPr>
          <w:rFonts w:hint="eastAsia" w:ascii="仿宋" w:hAnsi="仿宋" w:eastAsia="仿宋" w:cs="仿宋"/>
          <w:bCs/>
          <w:color w:val="FF0000"/>
          <w:sz w:val="24"/>
        </w:rPr>
        <w:t>本次采用该种评标方式</w:t>
      </w:r>
      <w:r>
        <w:rPr>
          <w:rFonts w:hint="eastAsia" w:ascii="仿宋" w:hAnsi="仿宋" w:eastAsia="仿宋" w:cs="仿宋"/>
          <w:bCs/>
          <w:sz w:val="24"/>
        </w:rPr>
        <w:t>）</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2.2.1、质量合格前提下，合计总价最低为中标候选人。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2.2.2、同等价格下，质量指标、售后服务更好的为中标候选人。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2.2.3、同等价格、同等质量下，现有供应方为中标候选人。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3、中标候选人的确定标准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在最大限度地满足招标文件实质性要求前提下，按照招标文件中规定的各项因素进行评审，按排名由高到低顺序确定中标候选人。中标候选人数量见报价须知。</w:t>
      </w:r>
    </w:p>
    <w:p>
      <w:pPr>
        <w:pStyle w:val="8"/>
        <w:spacing w:line="360" w:lineRule="auto"/>
        <w:ind w:left="0" w:firstLine="480" w:firstLineChars="200"/>
        <w:rPr>
          <w:rFonts w:ascii="仿宋" w:hAnsi="仿宋" w:eastAsia="仿宋" w:cs="仿宋"/>
          <w:bCs/>
          <w:sz w:val="24"/>
          <w:szCs w:val="24"/>
        </w:rPr>
      </w:pPr>
      <w:r>
        <w:rPr>
          <w:rFonts w:hint="eastAsia" w:ascii="仿宋" w:hAnsi="仿宋" w:eastAsia="仿宋" w:cs="仿宋"/>
          <w:bCs/>
          <w:sz w:val="24"/>
          <w:szCs w:val="24"/>
        </w:rPr>
        <w:t>4、中标通知书</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5、流标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5.1、招标方发现有串标、陪标等扰乱我方经营秩序的恶劣情况，本次招标流标，且不得再参与我公司今后的招标。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5.2、投标单位不足3家的，本次招标按流标处理。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6、废标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6.1、凡投标方不具备生产经营资质的，或招标文件填写不完整、报价有空项的，或不符合招标方技术要求的，经我司评标小组评定，作废标处理。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6.2、有效投标单位不足3家的，本次招标项目按废标处理。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6.3、排名第一的中标候选人放弃中标、因不可抗力不能履行合同、不按照招标文件要求提交履约保证金，或者被查实存在影响中标结果的违法行为等情形，不符合中标条件的，本次招标按废标处理。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7、其他注意事项</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7.1、投标方应保证产品各项指标符合国标，无国标强制要求的应符合我方使用要求，否则应及时调换或退货处理。</w:t>
      </w:r>
    </w:p>
    <w:p>
      <w:pPr>
        <w:pStyle w:val="3"/>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7.2、如因中标方原因，对我司生产造成影响的，投标保证金将不予退还。如影响严重的，我司将依法追究投标方相关责任。</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7.3、中标供应商有下列情形之一的，我司有权依法追究投标方相关责任并拒绝投标方参与我司招标工作且投标保证金将不予退还。</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7.3.1、经查实提供虚假信息，有欺诈行为的；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7.3.2、存在串通投标等不正当竞争行为的；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7.3.3、经查实有商业贿赂行为的；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7.3.4、中标后无正当理由不与采购人签订合同的；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7.3.5、将中标项目转让给他人或者在投标文件中未说明，将中标项目分包给他人的；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7.3.6、提供不合格工程、物资或服务的；</w:t>
      </w:r>
    </w:p>
    <w:p>
      <w:pPr>
        <w:spacing w:line="360" w:lineRule="auto"/>
        <w:ind w:firstLine="480" w:firstLineChars="200"/>
        <w:jc w:val="left"/>
        <w:rPr>
          <w:rFonts w:ascii="仿宋" w:hAnsi="仿宋" w:eastAsia="仿宋" w:cs="仿宋"/>
          <w:sz w:val="24"/>
        </w:rPr>
      </w:pPr>
      <w:r>
        <w:rPr>
          <w:rFonts w:hint="eastAsia" w:ascii="仿宋" w:hAnsi="仿宋" w:eastAsia="仿宋" w:cs="仿宋"/>
          <w:bCs/>
          <w:sz w:val="24"/>
        </w:rPr>
        <w:t>7.3.7、拒绝履行合同义务的。</w:t>
      </w:r>
    </w:p>
    <w:p>
      <w:pPr>
        <w:spacing w:line="360" w:lineRule="auto"/>
        <w:ind w:firstLine="480" w:firstLineChars="200"/>
        <w:jc w:val="left"/>
        <w:rPr>
          <w:rFonts w:ascii="仿宋" w:hAnsi="仿宋" w:eastAsia="仿宋" w:cs="仿宋"/>
          <w:sz w:val="24"/>
        </w:rPr>
        <w:sectPr>
          <w:headerReference r:id="rId3" w:type="default"/>
          <w:footerReference r:id="rId4" w:type="default"/>
          <w:pgSz w:w="11906" w:h="16838"/>
          <w:pgMar w:top="1134" w:right="1021" w:bottom="907" w:left="1361" w:header="851" w:footer="992" w:gutter="0"/>
          <w:cols w:space="720" w:num="1"/>
          <w:docGrid w:type="lines" w:linePitch="312" w:charSpace="0"/>
        </w:sectPr>
      </w:pPr>
    </w:p>
    <w:p>
      <w:pPr>
        <w:pStyle w:val="2"/>
        <w:spacing w:line="360" w:lineRule="auto"/>
        <w:jc w:val="left"/>
        <w:rPr>
          <w:rFonts w:ascii="仿宋" w:hAnsi="仿宋" w:eastAsia="仿宋" w:cs="仿宋"/>
          <w:sz w:val="24"/>
        </w:rPr>
      </w:pPr>
      <w:r>
        <w:rPr>
          <w:rFonts w:hint="eastAsia" w:ascii="仿宋" w:hAnsi="仿宋" w:eastAsia="仿宋" w:cs="仿宋"/>
          <w:b/>
          <w:bCs/>
          <w:sz w:val="24"/>
        </w:rPr>
        <w:t>附件一</w:t>
      </w:r>
    </w:p>
    <w:p>
      <w:pPr>
        <w:pStyle w:val="2"/>
        <w:spacing w:line="360" w:lineRule="auto"/>
        <w:rPr>
          <w:rFonts w:ascii="仿宋" w:hAnsi="仿宋" w:eastAsia="仿宋" w:cs="仿宋"/>
          <w:sz w:val="24"/>
        </w:rPr>
      </w:pPr>
      <w:r>
        <w:rPr>
          <w:rFonts w:hint="eastAsia" w:ascii="仿宋" w:hAnsi="仿宋" w:eastAsia="仿宋" w:cs="仿宋"/>
          <w:szCs w:val="44"/>
        </w:rPr>
        <w:t>承诺函</w:t>
      </w:r>
    </w:p>
    <w:p>
      <w:pPr>
        <w:spacing w:line="360" w:lineRule="auto"/>
        <w:rPr>
          <w:rFonts w:ascii="仿宋" w:hAnsi="仿宋" w:eastAsia="仿宋" w:cs="仿宋"/>
          <w:sz w:val="24"/>
        </w:rPr>
      </w:pPr>
    </w:p>
    <w:p>
      <w:pPr>
        <w:tabs>
          <w:tab w:val="left" w:pos="180"/>
        </w:tabs>
        <w:wordWrap w:val="0"/>
        <w:spacing w:line="360" w:lineRule="auto"/>
        <w:rPr>
          <w:rFonts w:ascii="仿宋" w:hAnsi="仿宋" w:eastAsia="仿宋" w:cs="仿宋"/>
          <w:kern w:val="1"/>
          <w:sz w:val="24"/>
        </w:rPr>
      </w:pPr>
      <w:r>
        <w:rPr>
          <w:rFonts w:hint="eastAsia" w:ascii="仿宋" w:hAnsi="仿宋" w:eastAsia="仿宋" w:cs="仿宋"/>
          <w:kern w:val="1"/>
          <w:sz w:val="24"/>
        </w:rPr>
        <w:t>镇江海纳川物流产业发展有限责任公司：</w:t>
      </w:r>
    </w:p>
    <w:p>
      <w:pPr>
        <w:wordWrap w:val="0"/>
        <w:spacing w:line="360" w:lineRule="auto"/>
        <w:ind w:left="240" w:firstLine="480" w:firstLineChars="200"/>
        <w:rPr>
          <w:rFonts w:ascii="仿宋" w:hAnsi="仿宋" w:eastAsia="仿宋" w:cs="仿宋"/>
          <w:kern w:val="1"/>
          <w:sz w:val="24"/>
        </w:rPr>
      </w:pP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u w:val="single"/>
        </w:rPr>
        <w:t xml:space="preserve">                       </w:t>
      </w:r>
      <w:r>
        <w:rPr>
          <w:rFonts w:hint="eastAsia" w:ascii="仿宋" w:hAnsi="仿宋" w:eastAsia="仿宋" w:cs="仿宋"/>
          <w:kern w:val="1"/>
          <w:sz w:val="24"/>
        </w:rPr>
        <w:t>(投标单位全称)授权</w:t>
      </w:r>
      <w:r>
        <w:rPr>
          <w:rFonts w:hint="eastAsia" w:ascii="仿宋" w:hAnsi="仿宋" w:eastAsia="仿宋" w:cs="仿宋"/>
          <w:kern w:val="1"/>
          <w:sz w:val="24"/>
          <w:u w:val="single"/>
        </w:rPr>
        <w:t xml:space="preserve">           </w:t>
      </w:r>
      <w:r>
        <w:rPr>
          <w:rFonts w:hint="eastAsia" w:ascii="仿宋" w:hAnsi="仿宋" w:eastAsia="仿宋" w:cs="仿宋"/>
          <w:kern w:val="1"/>
          <w:sz w:val="24"/>
        </w:rPr>
        <w:t>(全权代表姓名)</w:t>
      </w:r>
      <w:r>
        <w:rPr>
          <w:rFonts w:hint="eastAsia" w:ascii="仿宋" w:hAnsi="仿宋" w:eastAsia="仿宋" w:cs="仿宋"/>
          <w:kern w:val="1"/>
          <w:sz w:val="24"/>
          <w:u w:val="single"/>
        </w:rPr>
        <w:t xml:space="preserve">             </w:t>
      </w:r>
      <w:r>
        <w:rPr>
          <w:rFonts w:hint="eastAsia" w:ascii="仿宋" w:hAnsi="仿宋" w:eastAsia="仿宋" w:cs="仿宋"/>
          <w:kern w:val="1"/>
          <w:sz w:val="24"/>
        </w:rPr>
        <w:t>(职务、职称)为全权代表，参加贵方组织的招标有关活动，并对该项目进行投标。为此：</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1、提供投标须知规定的全部投标文件：包括正本</w:t>
      </w:r>
      <w:r>
        <w:rPr>
          <w:rFonts w:hint="eastAsia" w:ascii="仿宋" w:hAnsi="仿宋" w:eastAsia="仿宋" w:cs="仿宋"/>
          <w:kern w:val="1"/>
          <w:sz w:val="24"/>
          <w:u w:val="single"/>
        </w:rPr>
        <w:t xml:space="preserve">    </w:t>
      </w:r>
      <w:r>
        <w:rPr>
          <w:rFonts w:hint="eastAsia" w:ascii="仿宋" w:hAnsi="仿宋" w:eastAsia="仿宋" w:cs="仿宋"/>
          <w:kern w:val="1"/>
          <w:sz w:val="24"/>
        </w:rPr>
        <w:t>份，副本</w:t>
      </w:r>
      <w:r>
        <w:rPr>
          <w:rFonts w:hint="eastAsia" w:ascii="仿宋" w:hAnsi="仿宋" w:eastAsia="仿宋" w:cs="仿宋"/>
          <w:kern w:val="1"/>
          <w:sz w:val="24"/>
          <w:u w:val="single"/>
        </w:rPr>
        <w:t xml:space="preserve">    </w:t>
      </w:r>
      <w:r>
        <w:rPr>
          <w:rFonts w:hint="eastAsia" w:ascii="仿宋" w:hAnsi="仿宋" w:eastAsia="仿宋" w:cs="仿宋"/>
          <w:kern w:val="1"/>
          <w:sz w:val="24"/>
        </w:rPr>
        <w:t>份；</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2、投标项目的总投标价见开标一览表。</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3、我方保证遵守招标文件中的全部规定。</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4、我方保证忠实地执行双方签订的合同,并承担合同规定的责任义务。</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sz w:val="24"/>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wordWrap w:val="0"/>
        <w:spacing w:line="360" w:lineRule="auto"/>
        <w:ind w:firstLine="480" w:firstLineChars="200"/>
        <w:jc w:val="left"/>
        <w:rPr>
          <w:rFonts w:ascii="仿宋" w:hAnsi="仿宋" w:eastAsia="仿宋" w:cs="仿宋"/>
          <w:sz w:val="24"/>
          <w:shd w:val="clear" w:color="auto" w:fill="FFFFFF"/>
        </w:rPr>
      </w:pPr>
      <w:r>
        <w:rPr>
          <w:rFonts w:hint="eastAsia" w:ascii="仿宋" w:hAnsi="仿宋" w:eastAsia="仿宋" w:cs="仿宋"/>
          <w:kern w:val="1"/>
          <w:sz w:val="24"/>
        </w:rPr>
        <w:t>6、愿意向贵方提供任何与该项投标有关的数据、情况和技术资料，</w:t>
      </w:r>
      <w:r>
        <w:rPr>
          <w:rFonts w:hint="eastAsia" w:ascii="仿宋" w:hAnsi="仿宋" w:eastAsia="仿宋" w:cs="仿宋"/>
          <w:sz w:val="24"/>
          <w:shd w:val="clear" w:color="auto" w:fill="FFFFFF"/>
        </w:rPr>
        <w:t>完全理解贵方不一定接受最低报价或收到的任何报价。</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7、在规定的开标时间后，若我方违反招标文件相关条款的规定，则我方将放弃索回投标保证金的权利。</w:t>
      </w:r>
    </w:p>
    <w:p>
      <w:pPr>
        <w:wordWrap w:val="0"/>
        <w:spacing w:beforeLines="50" w:line="360" w:lineRule="auto"/>
        <w:jc w:val="left"/>
        <w:rPr>
          <w:rFonts w:ascii="仿宋" w:hAnsi="仿宋" w:eastAsia="仿宋" w:cs="仿宋"/>
          <w:kern w:val="1"/>
          <w:sz w:val="24"/>
        </w:rPr>
      </w:pPr>
    </w:p>
    <w:p>
      <w:pPr>
        <w:wordWrap w:val="0"/>
        <w:spacing w:beforeLines="50" w:line="360" w:lineRule="auto"/>
        <w:jc w:val="left"/>
        <w:rPr>
          <w:rFonts w:ascii="仿宋" w:hAnsi="仿宋" w:eastAsia="仿宋" w:cs="仿宋"/>
          <w:kern w:val="1"/>
          <w:sz w:val="24"/>
        </w:rPr>
      </w:pPr>
      <w:r>
        <w:rPr>
          <w:rFonts w:hint="eastAsia" w:ascii="仿宋" w:hAnsi="仿宋" w:eastAsia="仿宋" w:cs="仿宋"/>
          <w:kern w:val="1"/>
          <w:sz w:val="24"/>
        </w:rPr>
        <w:t>全权代表（签字）：                   投标单位（盖章）：</w:t>
      </w:r>
    </w:p>
    <w:p>
      <w:pPr>
        <w:wordWrap w:val="0"/>
        <w:spacing w:beforeLines="50" w:line="360" w:lineRule="auto"/>
        <w:jc w:val="left"/>
        <w:rPr>
          <w:rFonts w:ascii="仿宋" w:hAnsi="仿宋" w:eastAsia="仿宋" w:cs="仿宋"/>
          <w:kern w:val="1"/>
          <w:sz w:val="24"/>
        </w:rPr>
      </w:pPr>
      <w:r>
        <w:rPr>
          <w:rFonts w:hint="eastAsia" w:ascii="仿宋" w:hAnsi="仿宋" w:eastAsia="仿宋" w:cs="仿宋"/>
          <w:kern w:val="1"/>
          <w:sz w:val="24"/>
        </w:rPr>
        <w:t xml:space="preserve">日  期：          </w:t>
      </w: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rPr>
          <w:rFonts w:ascii="仿宋" w:hAnsi="仿宋" w:eastAsia="仿宋" w:cs="仿宋"/>
          <w:b/>
          <w:bCs/>
          <w:sz w:val="24"/>
        </w:rPr>
      </w:pPr>
    </w:p>
    <w:p>
      <w:pPr>
        <w:rPr>
          <w:rFonts w:ascii="仿宋" w:hAnsi="仿宋" w:eastAsia="仿宋" w:cs="仿宋"/>
          <w:sz w:val="24"/>
        </w:rPr>
      </w:pPr>
      <w:r>
        <w:rPr>
          <w:rFonts w:hint="eastAsia" w:ascii="仿宋" w:hAnsi="仿宋" w:eastAsia="仿宋" w:cs="仿宋"/>
          <w:b/>
          <w:bCs/>
          <w:sz w:val="24"/>
        </w:rPr>
        <w:t>附件二</w:t>
      </w:r>
    </w:p>
    <w:p>
      <w:pPr>
        <w:pStyle w:val="2"/>
        <w:spacing w:line="240" w:lineRule="auto"/>
        <w:rPr>
          <w:rFonts w:ascii="仿宋" w:hAnsi="仿宋" w:eastAsia="仿宋" w:cs="仿宋"/>
          <w:sz w:val="36"/>
          <w:szCs w:val="36"/>
        </w:rPr>
      </w:pPr>
      <w:r>
        <w:rPr>
          <w:rFonts w:hint="eastAsia" w:ascii="仿宋" w:hAnsi="仿宋" w:eastAsia="仿宋" w:cs="仿宋"/>
          <w:sz w:val="36"/>
          <w:szCs w:val="36"/>
        </w:rPr>
        <w:t>开标一览表</w:t>
      </w:r>
    </w:p>
    <w:p>
      <w:pPr>
        <w:jc w:val="left"/>
        <w:rPr>
          <w:rFonts w:ascii="仿宋" w:hAnsi="仿宋" w:eastAsia="仿宋" w:cs="仿宋"/>
          <w:kern w:val="1"/>
          <w:sz w:val="24"/>
        </w:rPr>
      </w:pPr>
      <w:r>
        <w:rPr>
          <w:rFonts w:hint="eastAsia" w:ascii="仿宋" w:hAnsi="仿宋" w:eastAsia="仿宋" w:cs="仿宋"/>
          <w:kern w:val="1"/>
          <w:sz w:val="24"/>
        </w:rPr>
        <w:t>报价货币：人民币(元)</w:t>
      </w:r>
    </w:p>
    <w:tbl>
      <w:tblPr>
        <w:tblStyle w:val="9"/>
        <w:tblpPr w:leftFromText="180" w:rightFromText="180" w:vertAnchor="text" w:horzAnchor="margin" w:tblpX="-573" w:tblpY="214"/>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2"/>
        <w:gridCol w:w="2127"/>
        <w:gridCol w:w="2126"/>
        <w:gridCol w:w="510"/>
        <w:gridCol w:w="440"/>
        <w:gridCol w:w="1025"/>
        <w:gridCol w:w="1025"/>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34"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序号</w:t>
            </w:r>
          </w:p>
        </w:tc>
        <w:tc>
          <w:tcPr>
            <w:tcW w:w="1842"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标的名称</w:t>
            </w:r>
          </w:p>
        </w:tc>
        <w:tc>
          <w:tcPr>
            <w:tcW w:w="2127"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型号</w:t>
            </w:r>
          </w:p>
        </w:tc>
        <w:tc>
          <w:tcPr>
            <w:tcW w:w="2126"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规格</w:t>
            </w:r>
          </w:p>
        </w:tc>
        <w:tc>
          <w:tcPr>
            <w:tcW w:w="510"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单位</w:t>
            </w:r>
          </w:p>
        </w:tc>
        <w:tc>
          <w:tcPr>
            <w:tcW w:w="440"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数量</w:t>
            </w:r>
          </w:p>
        </w:tc>
        <w:tc>
          <w:tcPr>
            <w:tcW w:w="1025"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单价  （含税）</w:t>
            </w:r>
          </w:p>
        </w:tc>
        <w:tc>
          <w:tcPr>
            <w:tcW w:w="1025"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总价   （含税）</w:t>
            </w:r>
          </w:p>
        </w:tc>
        <w:tc>
          <w:tcPr>
            <w:tcW w:w="766" w:type="dxa"/>
            <w:vAlign w:val="center"/>
          </w:tcPr>
          <w:p>
            <w:pPr>
              <w:widowControl/>
              <w:spacing w:line="0" w:lineRule="atLeast"/>
              <w:jc w:val="center"/>
              <w:rPr>
                <w:rFonts w:ascii="仿宋" w:hAnsi="仿宋" w:eastAsia="仿宋" w:cs="仿宋"/>
                <w:color w:val="auto"/>
                <w:szCs w:val="21"/>
              </w:rPr>
            </w:pPr>
            <w:r>
              <w:rPr>
                <w:rFonts w:hint="eastAsia" w:ascii="仿宋" w:hAnsi="仿宋" w:eastAsia="仿宋" w:cs="仿宋"/>
                <w:color w:val="auto"/>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34" w:type="dxa"/>
            <w:vAlign w:val="center"/>
          </w:tcPr>
          <w:p>
            <w:pPr>
              <w:widowControl/>
              <w:spacing w:line="0" w:lineRule="atLeast"/>
              <w:jc w:val="center"/>
              <w:rPr>
                <w:rFonts w:ascii="仿宋" w:hAnsi="仿宋" w:eastAsia="仿宋" w:cs="仿宋"/>
                <w:sz w:val="20"/>
                <w:szCs w:val="20"/>
              </w:rPr>
            </w:pPr>
            <w:r>
              <w:rPr>
                <w:rFonts w:hint="eastAsia" w:ascii="仿宋" w:hAnsi="仿宋" w:eastAsia="仿宋" w:cs="仿宋"/>
                <w:sz w:val="20"/>
                <w:szCs w:val="20"/>
              </w:rPr>
              <w:t>1</w:t>
            </w:r>
          </w:p>
        </w:tc>
        <w:tc>
          <w:tcPr>
            <w:tcW w:w="1842" w:type="dxa"/>
            <w:vAlign w:val="center"/>
          </w:tcPr>
          <w:p>
            <w:pPr>
              <w:rPr>
                <w:rFonts w:ascii="宋体" w:hAnsi="宋体" w:cs="宋体"/>
                <w:sz w:val="20"/>
                <w:szCs w:val="20"/>
              </w:rPr>
            </w:pPr>
            <w:r>
              <w:rPr>
                <w:rFonts w:hint="eastAsia"/>
                <w:sz w:val="20"/>
                <w:szCs w:val="20"/>
              </w:rPr>
              <w:t>不锈钢金属软管</w:t>
            </w:r>
          </w:p>
        </w:tc>
        <w:tc>
          <w:tcPr>
            <w:tcW w:w="2127" w:type="dxa"/>
            <w:vAlign w:val="center"/>
          </w:tcPr>
          <w:p>
            <w:pPr>
              <w:rPr>
                <w:rFonts w:ascii="宋体" w:hAnsi="宋体" w:cs="宋体"/>
                <w:sz w:val="20"/>
                <w:szCs w:val="20"/>
              </w:rPr>
            </w:pPr>
            <w:r>
              <w:rPr>
                <w:rFonts w:hint="eastAsia"/>
                <w:sz w:val="20"/>
                <w:szCs w:val="20"/>
              </w:rPr>
              <w:t>DN100×12m 316L 两端配PN16法兰</w:t>
            </w:r>
          </w:p>
        </w:tc>
        <w:tc>
          <w:tcPr>
            <w:tcW w:w="2126" w:type="dxa"/>
            <w:vAlign w:val="center"/>
          </w:tcPr>
          <w:p>
            <w:pPr>
              <w:rPr>
                <w:rFonts w:ascii="宋体" w:hAnsi="宋体" w:cs="宋体"/>
                <w:sz w:val="20"/>
                <w:szCs w:val="20"/>
              </w:rPr>
            </w:pPr>
            <w:r>
              <w:rPr>
                <w:rFonts w:hint="eastAsia"/>
                <w:sz w:val="20"/>
                <w:szCs w:val="20"/>
              </w:rPr>
              <w:t>介质醋酸，温度常温，整体316L</w:t>
            </w:r>
          </w:p>
        </w:tc>
        <w:tc>
          <w:tcPr>
            <w:tcW w:w="510" w:type="dxa"/>
            <w:vAlign w:val="center"/>
          </w:tcPr>
          <w:p>
            <w:pPr>
              <w:jc w:val="center"/>
              <w:rPr>
                <w:rFonts w:ascii="宋体" w:hAnsi="宋体" w:cs="宋体"/>
                <w:sz w:val="20"/>
                <w:szCs w:val="20"/>
              </w:rPr>
            </w:pPr>
            <w:r>
              <w:rPr>
                <w:rFonts w:hint="eastAsia"/>
                <w:sz w:val="20"/>
                <w:szCs w:val="20"/>
              </w:rPr>
              <w:t>根</w:t>
            </w:r>
          </w:p>
        </w:tc>
        <w:tc>
          <w:tcPr>
            <w:tcW w:w="440" w:type="dxa"/>
            <w:vAlign w:val="center"/>
          </w:tcPr>
          <w:p>
            <w:pPr>
              <w:jc w:val="center"/>
              <w:rPr>
                <w:rFonts w:ascii="宋体" w:hAnsi="宋体" w:cs="宋体"/>
                <w:sz w:val="20"/>
                <w:szCs w:val="20"/>
              </w:rPr>
            </w:pPr>
            <w:r>
              <w:rPr>
                <w:rFonts w:hint="eastAsia"/>
                <w:sz w:val="20"/>
                <w:szCs w:val="20"/>
              </w:rPr>
              <w:t>2</w:t>
            </w:r>
          </w:p>
        </w:tc>
        <w:tc>
          <w:tcPr>
            <w:tcW w:w="1025" w:type="dxa"/>
            <w:vAlign w:val="center"/>
          </w:tcPr>
          <w:p>
            <w:pPr>
              <w:widowControl/>
              <w:spacing w:line="0" w:lineRule="atLeast"/>
              <w:jc w:val="center"/>
              <w:rPr>
                <w:rFonts w:ascii="仿宋" w:hAnsi="仿宋" w:eastAsia="仿宋" w:cs="仿宋"/>
                <w:sz w:val="20"/>
                <w:szCs w:val="20"/>
              </w:rPr>
            </w:pPr>
          </w:p>
        </w:tc>
        <w:tc>
          <w:tcPr>
            <w:tcW w:w="1025" w:type="dxa"/>
            <w:vAlign w:val="center"/>
          </w:tcPr>
          <w:p>
            <w:pPr>
              <w:widowControl/>
              <w:spacing w:line="0" w:lineRule="atLeast"/>
              <w:jc w:val="center"/>
              <w:rPr>
                <w:rFonts w:ascii="仿宋" w:hAnsi="仿宋" w:eastAsia="仿宋" w:cs="仿宋"/>
                <w:szCs w:val="21"/>
              </w:rPr>
            </w:pPr>
          </w:p>
        </w:tc>
        <w:tc>
          <w:tcPr>
            <w:tcW w:w="766"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629" w:type="dxa"/>
            <w:gridSpan w:val="4"/>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 xml:space="preserve">以上合计总价（大写）： </w:t>
            </w:r>
          </w:p>
        </w:tc>
        <w:tc>
          <w:tcPr>
            <w:tcW w:w="3766" w:type="dxa"/>
            <w:gridSpan w:val="5"/>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629" w:type="dxa"/>
            <w:gridSpan w:val="4"/>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 xml:space="preserve">报价有效期： </w:t>
            </w:r>
          </w:p>
        </w:tc>
        <w:tc>
          <w:tcPr>
            <w:tcW w:w="3766" w:type="dxa"/>
            <w:gridSpan w:val="5"/>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税率：</w:t>
            </w:r>
          </w:p>
        </w:tc>
      </w:tr>
    </w:tbl>
    <w:p>
      <w:pPr>
        <w:wordWrap w:val="0"/>
        <w:spacing w:beforeLines="50"/>
        <w:jc w:val="left"/>
        <w:rPr>
          <w:rFonts w:ascii="仿宋" w:hAnsi="仿宋" w:eastAsia="仿宋" w:cs="仿宋"/>
          <w:kern w:val="1"/>
          <w:sz w:val="24"/>
        </w:rPr>
      </w:pPr>
      <w:r>
        <w:rPr>
          <w:rFonts w:hint="eastAsia" w:ascii="仿宋" w:hAnsi="仿宋" w:eastAsia="仿宋" w:cs="仿宋"/>
          <w:kern w:val="1"/>
          <w:sz w:val="24"/>
        </w:rPr>
        <w:t xml:space="preserve">全权代表（签字）：                       投标单位（盖章）：         </w:t>
      </w:r>
    </w:p>
    <w:p>
      <w:pPr>
        <w:wordWrap w:val="0"/>
        <w:spacing w:beforeLines="50"/>
        <w:jc w:val="left"/>
        <w:rPr>
          <w:rFonts w:ascii="仿宋" w:hAnsi="仿宋" w:eastAsia="仿宋" w:cs="仿宋"/>
          <w:kern w:val="1"/>
          <w:sz w:val="24"/>
        </w:rPr>
      </w:pPr>
      <w:r>
        <w:rPr>
          <w:rFonts w:hint="eastAsia" w:ascii="仿宋" w:hAnsi="仿宋" w:eastAsia="仿宋" w:cs="仿宋"/>
          <w:kern w:val="1"/>
          <w:sz w:val="24"/>
        </w:rPr>
        <w:t>日  期：</w:t>
      </w:r>
    </w:p>
    <w:p>
      <w:pPr>
        <w:wordWrap w:val="0"/>
        <w:spacing w:beforeLines="50"/>
        <w:jc w:val="left"/>
        <w:rPr>
          <w:rFonts w:ascii="仿宋" w:hAnsi="仿宋" w:eastAsia="仿宋" w:cs="仿宋"/>
          <w:kern w:val="1"/>
          <w:sz w:val="24"/>
        </w:rPr>
      </w:pPr>
      <w:r>
        <w:rPr>
          <w:rFonts w:hint="eastAsia" w:ascii="仿宋" w:hAnsi="仿宋" w:eastAsia="仿宋" w:cs="仿宋"/>
          <w:kern w:val="1"/>
          <w:sz w:val="24"/>
        </w:rPr>
        <w:t>注：1、未注明税率的视为无效价格。</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2、</w:t>
      </w:r>
      <w:r>
        <w:rPr>
          <w:rFonts w:hint="eastAsia" w:ascii="仿宋" w:hAnsi="仿宋" w:eastAsia="仿宋" w:cs="仿宋"/>
          <w:color w:val="FF0000"/>
          <w:kern w:val="1"/>
          <w:sz w:val="24"/>
        </w:rPr>
        <w:t>报价有效期少于投标有效期的作废标处理</w:t>
      </w:r>
      <w:r>
        <w:rPr>
          <w:rFonts w:hint="eastAsia" w:ascii="仿宋" w:hAnsi="仿宋" w:eastAsia="仿宋" w:cs="仿宋"/>
          <w:kern w:val="1"/>
          <w:sz w:val="24"/>
        </w:rPr>
        <w:t>，未标注的以投标有效期为准。</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3、交货期：投标方给出有利于招标方或竞标的最短交货期，</w:t>
      </w:r>
      <w:r>
        <w:rPr>
          <w:rFonts w:hint="eastAsia" w:ascii="仿宋" w:hAnsi="仿宋" w:eastAsia="仿宋" w:cs="仿宋"/>
          <w:color w:val="auto"/>
          <w:kern w:val="2"/>
          <w:sz w:val="24"/>
        </w:rPr>
        <w:t>评标时作为重要参考依据</w:t>
      </w:r>
      <w:r>
        <w:rPr>
          <w:rFonts w:hint="eastAsia" w:ascii="仿宋" w:hAnsi="仿宋" w:eastAsia="仿宋" w:cs="仿宋"/>
          <w:kern w:val="1"/>
          <w:sz w:val="24"/>
        </w:rPr>
        <w:t>，未注明的以招标文件为准但可能会成为不中标的因素。</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4、特别说明：投标方应认真核算货物的单价，招标方有权根据单价来选择采购。</w:t>
      </w:r>
    </w:p>
    <w:p>
      <w:pPr>
        <w:tabs>
          <w:tab w:val="left" w:pos="360"/>
        </w:tabs>
        <w:spacing w:line="360" w:lineRule="auto"/>
        <w:jc w:val="left"/>
        <w:rPr>
          <w:rFonts w:ascii="仿宋" w:hAnsi="仿宋" w:eastAsia="仿宋" w:cs="仿宋"/>
          <w:b/>
          <w:color w:val="auto"/>
          <w:kern w:val="1"/>
          <w:sz w:val="24"/>
        </w:rPr>
      </w:pPr>
      <w:r>
        <w:rPr>
          <w:rFonts w:hint="eastAsia" w:ascii="仿宋" w:hAnsi="仿宋" w:eastAsia="仿宋" w:cs="仿宋"/>
          <w:kern w:val="1"/>
          <w:sz w:val="24"/>
        </w:rPr>
        <w:t>5、招标控制价为:</w:t>
      </w:r>
      <w:r>
        <w:rPr>
          <w:rFonts w:hint="eastAsia" w:ascii="仿宋" w:hAnsi="仿宋" w:eastAsia="仿宋" w:cs="仿宋"/>
          <w:color w:val="FF0000"/>
          <w:kern w:val="1"/>
          <w:sz w:val="24"/>
        </w:rPr>
        <w:t xml:space="preserve"> 1.5万元（含税）(高于招标控制价作废标处理）</w:t>
      </w:r>
    </w:p>
    <w:sectPr>
      <w:footerReference r:id="rId5" w:type="default"/>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ÑÚSå">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Quad Arrow 3" o:spid="_x0000_s2049"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6"/>
                  <w:jc w:val="center"/>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9FFCB"/>
    <w:multiLevelType w:val="singleLevel"/>
    <w:tmpl w:val="1879FFCB"/>
    <w:lvl w:ilvl="0" w:tentative="0">
      <w:start w:val="2"/>
      <w:numFmt w:val="decimal"/>
      <w:suff w:val="nothing"/>
      <w:lvlText w:val="%1、"/>
      <w:lvlJc w:val="left"/>
      <w:rPr>
        <w:color w:val="auto"/>
      </w:rPr>
    </w:lvl>
  </w:abstractNum>
  <w:num w:numId="1">
    <w:abstractNumId w:val="0"/>
  </w:num>
</w:numbering>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